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left="0" w:right="0"/>
        <w:jc w:val="center"/>
        <w:rPr>
          <w:color w:val="3598DB"/>
          <w:sz w:val="27"/>
          <w:szCs w:val="27"/>
        </w:rPr>
      </w:pPr>
      <w:bookmarkStart w:id="0" w:name="_GoBack"/>
      <w:r>
        <w:rPr>
          <w:color w:val="3598DB"/>
          <w:sz w:val="27"/>
          <w:szCs w:val="27"/>
          <w:bdr w:val="none" w:color="auto" w:sz="0" w:space="0"/>
          <w:shd w:val="clear" w:fill="FFFFFF"/>
        </w:rPr>
        <w:t>辽宁科技大学研究生学业奖学金评选细则</w:t>
      </w:r>
      <w:bookmarkEnd w:id="0"/>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为保证研究生学业奖学金评选工作公平、公正、顺利进行，根据国家有关文件精神，结合学校研究生教育的实际，制定本细则。</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一、申报对象：</w:t>
      </w:r>
      <w:r>
        <w:rPr>
          <w:rFonts w:hint="eastAsia" w:ascii="宋体" w:hAnsi="宋体" w:eastAsia="宋体" w:cs="宋体"/>
          <w:color w:val="323232"/>
          <w:sz w:val="24"/>
          <w:szCs w:val="24"/>
          <w:shd w:val="clear" w:fill="FFFFFF"/>
        </w:rPr>
        <w:t>二、三年级全日制在校研究生（硕博连读提前入学的博一研究生，随原所在硕士班级申报）。</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二、评选时间</w:t>
      </w:r>
      <w:r>
        <w:rPr>
          <w:rFonts w:hint="eastAsia" w:ascii="宋体" w:hAnsi="宋体" w:eastAsia="宋体" w:cs="宋体"/>
          <w:color w:val="323232"/>
          <w:sz w:val="24"/>
          <w:szCs w:val="24"/>
          <w:shd w:val="clear" w:fill="FFFFFF"/>
        </w:rPr>
        <w:t>：每年9月，研究生在第二学年和第三学年开学初评选上一学年度的学业奖学金；在第三学年毕业时，评选第三学年的学业奖学金。</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三、申报基本条件</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1.热爱社会主义祖国，拥护中国共产党的领导；遵守宪法、法律和学校规章制度。</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2.诚实守信，道德品质优良，导师对申请者操行评定合格及以上。</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3.学习成绩良好，硕士研究生申请第一学年学业奖学金者，须全部课程首次考试成绩无不合格。</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4.积极参加科学研究、学术活动和社会实践，硕士研究生申请第二学年学业奖学金者，若综合评定成绩为“0分”及以下者，则不能参评二等及以上学业奖学金。</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5.硕士研究生</w:t>
      </w:r>
      <w:r>
        <w:rPr>
          <w:rFonts w:hint="eastAsia" w:ascii="宋体" w:hAnsi="宋体" w:eastAsia="宋体" w:cs="宋体"/>
          <w:color w:val="000000"/>
          <w:sz w:val="24"/>
          <w:szCs w:val="24"/>
          <w:shd w:val="clear" w:fill="FFFFFF"/>
        </w:rPr>
        <w:t>第三学年学业奖学金申请者，须按基本学制规定时间（2.5年）通过硕士学位论文答辩。</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四、奖励标准及评选比例</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000000"/>
          <w:sz w:val="24"/>
          <w:szCs w:val="24"/>
          <w:shd w:val="clear" w:fill="FFFFFF"/>
        </w:rPr>
        <w:t>博士研究生学业奖学金奖励比例为100%，不分等级，奖励金额每生每年15000元。</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000000"/>
          <w:sz w:val="24"/>
          <w:szCs w:val="24"/>
          <w:shd w:val="clear" w:fill="FFFFFF"/>
        </w:rPr>
        <w:t>硕士研究生学业奖学金奖励比例为100%，第一学年、第二学年学业奖学金分一、二、三等，第三学年半年的学业奖学金不分等级。具体情况为：</w:t>
      </w:r>
    </w:p>
    <w:tbl>
      <w:tblPr>
        <w:tblW w:w="8520" w:type="dxa"/>
        <w:tblInd w:w="16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972"/>
        <w:gridCol w:w="1436"/>
        <w:gridCol w:w="1704"/>
        <w:gridCol w:w="1704"/>
        <w:gridCol w:w="1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972" w:type="dxa"/>
            <w:vMerge w:val="restart"/>
            <w:tcBorders>
              <w:top w:val="outset" w:color="auto" w:sz="6" w:space="0"/>
              <w:left w:val="outset" w:color="auto" w:sz="6" w:space="0"/>
              <w:bottom w:val="outset" w:color="auto" w:sz="6" w:space="0"/>
              <w:right w:val="outset" w:color="auto" w:sz="6" w:space="0"/>
            </w:tcBorders>
            <w:shd w:val="clear"/>
            <w:vAlign w:val="bottom"/>
          </w:tcPr>
          <w:p>
            <w:pPr>
              <w:pStyle w:val="3"/>
              <w:keepNext w:val="0"/>
              <w:keepLines w:val="0"/>
              <w:widowControl/>
              <w:suppressLineNumbers w:val="0"/>
              <w:jc w:val="center"/>
            </w:pPr>
            <w:r>
              <w:rPr>
                <w:rStyle w:val="6"/>
                <w:rFonts w:hint="eastAsia" w:ascii="宋体" w:hAnsi="宋体" w:eastAsia="宋体" w:cs="宋体"/>
                <w:i w:val="0"/>
                <w:color w:val="000000"/>
                <w:sz w:val="24"/>
                <w:szCs w:val="24"/>
                <w:bdr w:val="none" w:color="auto" w:sz="0" w:space="0"/>
              </w:rPr>
              <w:t>第一和第二学年奖励等级比例</w:t>
            </w:r>
          </w:p>
        </w:tc>
        <w:tc>
          <w:tcPr>
            <w:tcW w:w="1436" w:type="dxa"/>
            <w:tcBorders>
              <w:top w:val="outset" w:color="auto" w:sz="6" w:space="0"/>
              <w:left w:val="outset" w:color="auto" w:sz="6" w:space="0"/>
              <w:bottom w:val="outset" w:color="auto" w:sz="6" w:space="0"/>
              <w:right w:val="outset" w:color="auto" w:sz="6" w:space="0"/>
            </w:tcBorders>
            <w:shd w:val="clear"/>
            <w:vAlign w:val="bottom"/>
          </w:tcPr>
          <w:p>
            <w:pPr>
              <w:pStyle w:val="3"/>
              <w:keepNext w:val="0"/>
              <w:keepLines w:val="0"/>
              <w:widowControl/>
              <w:suppressLineNumbers w:val="0"/>
              <w:jc w:val="center"/>
            </w:pPr>
            <w:r>
              <w:rPr>
                <w:rStyle w:val="6"/>
                <w:rFonts w:hint="eastAsia" w:ascii="宋体" w:hAnsi="宋体" w:eastAsia="宋体" w:cs="宋体"/>
                <w:i w:val="0"/>
                <w:color w:val="000000"/>
                <w:sz w:val="24"/>
                <w:szCs w:val="24"/>
                <w:bdr w:val="none" w:color="auto" w:sz="0" w:space="0"/>
              </w:rPr>
              <w:t>一等</w:t>
            </w:r>
          </w:p>
        </w:tc>
        <w:tc>
          <w:tcPr>
            <w:tcW w:w="1704" w:type="dxa"/>
            <w:tcBorders>
              <w:top w:val="outset" w:color="auto" w:sz="6" w:space="0"/>
              <w:left w:val="outset" w:color="auto" w:sz="6" w:space="0"/>
              <w:bottom w:val="outset" w:color="auto" w:sz="6" w:space="0"/>
              <w:right w:val="outset" w:color="auto" w:sz="6" w:space="0"/>
            </w:tcBorders>
            <w:shd w:val="clear"/>
            <w:vAlign w:val="bottom"/>
          </w:tcPr>
          <w:p>
            <w:pPr>
              <w:pStyle w:val="3"/>
              <w:keepNext w:val="0"/>
              <w:keepLines w:val="0"/>
              <w:widowControl/>
              <w:suppressLineNumbers w:val="0"/>
              <w:jc w:val="center"/>
            </w:pPr>
            <w:r>
              <w:rPr>
                <w:rStyle w:val="6"/>
                <w:rFonts w:hint="eastAsia" w:ascii="宋体" w:hAnsi="宋体" w:eastAsia="宋体" w:cs="宋体"/>
                <w:i w:val="0"/>
                <w:color w:val="000000"/>
                <w:sz w:val="24"/>
                <w:szCs w:val="24"/>
                <w:bdr w:val="none" w:color="auto" w:sz="0" w:space="0"/>
              </w:rPr>
              <w:t>二等</w:t>
            </w:r>
          </w:p>
        </w:tc>
        <w:tc>
          <w:tcPr>
            <w:tcW w:w="1704" w:type="dxa"/>
            <w:tcBorders>
              <w:top w:val="outset" w:color="auto" w:sz="6" w:space="0"/>
              <w:left w:val="outset" w:color="auto" w:sz="6" w:space="0"/>
              <w:bottom w:val="outset" w:color="auto" w:sz="6" w:space="0"/>
              <w:right w:val="outset" w:color="auto" w:sz="6" w:space="0"/>
            </w:tcBorders>
            <w:shd w:val="clear"/>
            <w:vAlign w:val="bottom"/>
          </w:tcPr>
          <w:p>
            <w:pPr>
              <w:pStyle w:val="3"/>
              <w:keepNext w:val="0"/>
              <w:keepLines w:val="0"/>
              <w:widowControl/>
              <w:suppressLineNumbers w:val="0"/>
              <w:jc w:val="center"/>
            </w:pPr>
            <w:r>
              <w:rPr>
                <w:rStyle w:val="6"/>
                <w:rFonts w:hint="eastAsia" w:ascii="宋体" w:hAnsi="宋体" w:eastAsia="宋体" w:cs="宋体"/>
                <w:i w:val="0"/>
                <w:color w:val="000000"/>
                <w:sz w:val="24"/>
                <w:szCs w:val="24"/>
                <w:bdr w:val="none" w:color="auto" w:sz="0" w:space="0"/>
              </w:rPr>
              <w:t>三等</w:t>
            </w:r>
          </w:p>
        </w:tc>
        <w:tc>
          <w:tcPr>
            <w:tcW w:w="1704" w:type="dxa"/>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第三学年半年的学业奖学金获奖每人奖励金额2000元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c>
          <w:tcPr>
            <w:tcW w:w="1972" w:type="dxa"/>
            <w:vMerge w:val="continue"/>
            <w:tcBorders>
              <w:top w:val="outset" w:color="auto" w:sz="6" w:space="0"/>
              <w:left w:val="outset" w:color="auto" w:sz="6" w:space="0"/>
              <w:bottom w:val="outset" w:color="auto" w:sz="6" w:space="0"/>
              <w:right w:val="outset" w:color="auto" w:sz="6" w:space="0"/>
            </w:tcBorders>
            <w:shd w:val="clear"/>
            <w:vAlign w:val="bottom"/>
          </w:tcPr>
          <w:p>
            <w:pPr>
              <w:rPr>
                <w:rFonts w:hint="eastAsia" w:ascii="微软雅黑" w:hAnsi="微软雅黑" w:eastAsia="微软雅黑" w:cs="微软雅黑"/>
                <w:color w:val="323232"/>
                <w:sz w:val="18"/>
                <w:szCs w:val="18"/>
              </w:rPr>
            </w:pPr>
          </w:p>
        </w:tc>
        <w:tc>
          <w:tcPr>
            <w:tcW w:w="1436"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20%</w:t>
            </w:r>
          </w:p>
        </w:tc>
        <w:tc>
          <w:tcPr>
            <w:tcW w:w="170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30%</w:t>
            </w:r>
          </w:p>
        </w:tc>
        <w:tc>
          <w:tcPr>
            <w:tcW w:w="170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50%</w:t>
            </w:r>
          </w:p>
        </w:tc>
        <w:tc>
          <w:tcPr>
            <w:tcW w:w="170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323232"/>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972"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Style w:val="6"/>
                <w:rFonts w:hint="eastAsia" w:ascii="宋体" w:hAnsi="宋体" w:eastAsia="宋体" w:cs="宋体"/>
                <w:i w:val="0"/>
                <w:color w:val="000000"/>
                <w:sz w:val="24"/>
                <w:szCs w:val="24"/>
                <w:bdr w:val="none" w:color="auto" w:sz="0" w:space="0"/>
              </w:rPr>
              <w:t>奖励金额</w:t>
            </w:r>
          </w:p>
        </w:tc>
        <w:tc>
          <w:tcPr>
            <w:tcW w:w="1436"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6000元</w:t>
            </w:r>
          </w:p>
        </w:tc>
        <w:tc>
          <w:tcPr>
            <w:tcW w:w="170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4000元</w:t>
            </w:r>
          </w:p>
        </w:tc>
        <w:tc>
          <w:tcPr>
            <w:tcW w:w="1704" w:type="dxa"/>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jc w:val="center"/>
            </w:pPr>
            <w:r>
              <w:rPr>
                <w:rFonts w:hint="eastAsia" w:ascii="宋体" w:hAnsi="宋体" w:eastAsia="宋体" w:cs="宋体"/>
                <w:color w:val="000000"/>
                <w:sz w:val="24"/>
                <w:szCs w:val="24"/>
                <w:bdr w:val="none" w:color="auto" w:sz="0" w:space="0"/>
              </w:rPr>
              <w:t>2000元</w:t>
            </w:r>
          </w:p>
        </w:tc>
        <w:tc>
          <w:tcPr>
            <w:tcW w:w="170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323232"/>
                <w:sz w:val="18"/>
                <w:szCs w:val="18"/>
              </w:rPr>
            </w:pPr>
          </w:p>
        </w:tc>
      </w:tr>
    </w:tbl>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五、评选计分办法</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博士研究生按申报程序直接申报。硕士研究生按学年、分学院对学术型和专业型研究生进行评定，参评成果认定截止时间为当年的8月31日。</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Style w:val="6"/>
          <w:rFonts w:hint="eastAsia" w:ascii="宋体" w:hAnsi="宋体" w:eastAsia="宋体" w:cs="宋体"/>
          <w:i w:val="0"/>
          <w:color w:val="323232"/>
          <w:sz w:val="24"/>
          <w:szCs w:val="24"/>
          <w:shd w:val="clear" w:fill="FFFFFF"/>
        </w:rPr>
        <w:t>（一）第一学年学业奖学金：</w:t>
      </w:r>
      <w:r>
        <w:rPr>
          <w:rFonts w:hint="eastAsia" w:ascii="宋体" w:hAnsi="宋体" w:eastAsia="宋体" w:cs="宋体"/>
          <w:color w:val="323232"/>
          <w:sz w:val="24"/>
          <w:szCs w:val="24"/>
          <w:shd w:val="clear" w:fill="FFFFFF"/>
        </w:rPr>
        <w:t>根据研究生第一学年度的课程学习成绩、科学研究能力、参加创新实践情况以及德育、文体活动及社会工作等方面情况，分学院学科综合量化计分评定，各部分占比为：课程成绩60%；科学研究能力10%；创新实践类竞赛15%；德育、文体活动及社会工作15%。</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Style w:val="6"/>
          <w:rFonts w:hint="eastAsia" w:ascii="宋体" w:hAnsi="宋体" w:eastAsia="宋体" w:cs="宋体"/>
          <w:i w:val="0"/>
          <w:color w:val="323232"/>
          <w:sz w:val="24"/>
          <w:szCs w:val="24"/>
          <w:shd w:val="clear" w:fill="FFFFFF"/>
        </w:rPr>
        <w:t>（二）第二学年学业奖学金：</w:t>
      </w:r>
      <w:r>
        <w:rPr>
          <w:rFonts w:hint="eastAsia" w:ascii="宋体" w:hAnsi="宋体" w:eastAsia="宋体" w:cs="宋体"/>
          <w:color w:val="323232"/>
          <w:sz w:val="24"/>
          <w:szCs w:val="24"/>
          <w:shd w:val="clear" w:fill="FFFFFF"/>
        </w:rPr>
        <w:t>根据研究生在第二学年度取得的科学成果和参加创新实践情况以及德育、文体活动及社会工作等方面情况，分学院学科综合量化计分评定，各部分占比为：科学研究能力60%；创新实践类竞赛25%；德育、文体活动及社会工作15%。</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Style w:val="6"/>
          <w:rFonts w:hint="eastAsia" w:ascii="宋体" w:hAnsi="宋体" w:eastAsia="宋体" w:cs="宋体"/>
          <w:i w:val="0"/>
          <w:color w:val="323232"/>
          <w:sz w:val="24"/>
          <w:szCs w:val="24"/>
          <w:shd w:val="clear" w:fill="FFFFFF"/>
        </w:rPr>
        <w:t>（三）计分方式：参照国家奖学金各项计分标准进行。</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1.课程学习成绩、科学研究能力的计分由学院负责制定评分细则，并计算得分。</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2.创新实践类竞赛和德育、文体活动及社会工作的计分由研究生院负责，并在学业奖学金评定时，将申报者此项得分提供给各学院。</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3.总分：由培养学院负责汇总计算。</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六、申报及评审程序</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（一）根据申报基本条件，由研究生本人自愿申报，填写《研究生学业奖学金申请及综合评定表》（附件）。</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（二）学院学业奖学金评审委员会对本学院申请者进行初步评审，并确定拟获奖学生名单在学院内进行公示。</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（三）研究生院将各相关学院内公示无异议的“研究生学业奖学金拟获奖名单”提交学校研究生学业奖学金评审领导小组进行审定，最终确定研究生学业奖学金获奖者，并在学校范围内进行公示。</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四）对研究生学业奖学金评审结果有异议的学生，可在学院公示阶段向学院评审委员会提出申诉，学院评审委员会应及时研究并予以答复。如学生对学院作出的答复仍有异议，可在学校公示阶段向校研究生学业奖学金评审领导小组提请裁决。</w:t>
      </w:r>
    </w:p>
    <w:p>
      <w:pPr>
        <w:pStyle w:val="3"/>
        <w:keepNext w:val="0"/>
        <w:keepLines w:val="0"/>
        <w:widowControl/>
        <w:suppressLineNumbers w:val="0"/>
        <w:spacing w:before="452" w:beforeAutospacing="0" w:after="300" w:afterAutospacing="0" w:line="330" w:lineRule="atLeast"/>
        <w:ind w:left="150" w:right="150"/>
      </w:pPr>
      <w:r>
        <w:rPr>
          <w:rStyle w:val="6"/>
          <w:rFonts w:hint="eastAsia" w:ascii="宋体" w:hAnsi="宋体" w:eastAsia="宋体" w:cs="宋体"/>
          <w:i w:val="0"/>
          <w:color w:val="323232"/>
          <w:sz w:val="24"/>
          <w:szCs w:val="24"/>
          <w:shd w:val="clear" w:fill="FFFFFF"/>
        </w:rPr>
        <w:t>七、其他</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1.本细则将在实施过程中进行年度修订，以期更加公平合理。</w:t>
      </w:r>
    </w:p>
    <w:p>
      <w:pPr>
        <w:pStyle w:val="3"/>
        <w:keepNext w:val="0"/>
        <w:keepLines w:val="0"/>
        <w:widowControl/>
        <w:suppressLineNumbers w:val="0"/>
        <w:spacing w:before="452" w:beforeAutospacing="0" w:after="300" w:afterAutospacing="0" w:line="330" w:lineRule="atLeast"/>
        <w:ind w:left="150" w:right="150"/>
      </w:pPr>
      <w:r>
        <w:rPr>
          <w:rFonts w:hint="eastAsia" w:ascii="微软雅黑" w:hAnsi="微软雅黑" w:eastAsia="微软雅黑" w:cs="微软雅黑"/>
          <w:color w:val="323232"/>
          <w:sz w:val="18"/>
          <w:szCs w:val="18"/>
          <w:shd w:val="clear" w:fill="FFFFFF"/>
        </w:rPr>
        <w:t>　　</w:t>
      </w:r>
      <w:r>
        <w:rPr>
          <w:rFonts w:hint="eastAsia" w:ascii="宋体" w:hAnsi="宋体" w:eastAsia="宋体" w:cs="宋体"/>
          <w:color w:val="323232"/>
          <w:sz w:val="24"/>
          <w:szCs w:val="24"/>
          <w:shd w:val="clear" w:fill="FFFFFF"/>
        </w:rPr>
        <w:t>2.本细则自下发之日起实行，由研究生院及相关学院负责解释。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50945"/>
    <w:rsid w:val="7715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2019-07-08T07:04:00Z</dcterms:created>
  <dc:creator>赵宝生</dc:creator>
  <cp:lastModifiedBy>赵宝生</cp:lastModifiedBy>
  <dcterms:modified xsi:type="dcterms:W3CDTF">2019-07-08T07:05:13Z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